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39062" w14:textId="77777777" w:rsidR="00536F45" w:rsidRDefault="00EA5440">
      <w:pPr>
        <w:spacing w:before="1915" w:after="209"/>
        <w:ind w:right="29"/>
        <w:textAlignment w:val="baseline"/>
      </w:pPr>
      <w:r>
        <w:pict w14:anchorId="144FEC02">
          <v:shapetype id="_x0000_t202" coordsize="21600,21600" o:spt="202" path="m,l,21600r21600,l21600,xe">
            <v:stroke joinstyle="miter"/>
            <v:path gradientshapeok="t" o:connecttype="rect"/>
          </v:shapetype>
          <v:shape id="_x0000_s0" o:spid="_x0000_s1033" type="#_x0000_t202" style="position:absolute;margin-left:0;margin-top:0;width:1360.8pt;height:893.05pt;z-index:-251662336;mso-position-horizontal-relative:page;mso-position-vertical-relative:page" fillcolor="black" stroked="f">
            <v:textbox>
              <w:txbxContent>
                <w:p w14:paraId="21C5AD1B" w14:textId="77777777" w:rsidR="00000000" w:rsidRDefault="00EA5440"/>
              </w:txbxContent>
            </v:textbox>
            <w10:wrap anchorx="page" anchory="page"/>
          </v:shape>
        </w:pict>
      </w:r>
      <w:r>
        <w:rPr>
          <w:noProof/>
        </w:rPr>
        <w:drawing>
          <wp:inline distT="0" distB="0" distL="0" distR="0" wp14:anchorId="591DC2DF" wp14:editId="65C9BD0D">
            <wp:extent cx="7068185" cy="60140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7068185" cy="6014085"/>
                    </a:xfrm>
                    <a:prstGeom prst="rect">
                      <a:avLst/>
                    </a:prstGeom>
                  </pic:spPr>
                </pic:pic>
              </a:graphicData>
            </a:graphic>
          </wp:inline>
        </w:drawing>
      </w:r>
    </w:p>
    <w:p w14:paraId="61A6B373" w14:textId="77777777" w:rsidR="00536F45" w:rsidRDefault="00EA5440">
      <w:pPr>
        <w:spacing w:after="1535" w:line="175" w:lineRule="exact"/>
        <w:jc w:val="right"/>
        <w:textAlignment w:val="baseline"/>
        <w:rPr>
          <w:rFonts w:ascii="Arial" w:eastAsia="Arial" w:hAnsi="Arial"/>
          <w:i/>
          <w:color w:val="FFFFFF"/>
          <w:sz w:val="15"/>
          <w:lang w:val="de-DE"/>
        </w:rPr>
      </w:pPr>
      <w:r>
        <w:pict w14:anchorId="076685FA">
          <v:shape id="_x0000_s1032" type="#_x0000_t202" style="position:absolute;left:0;text-align:left;margin-left:680.4pt;margin-top:0;width:680.4pt;height:893.95pt;z-index:-251661312;mso-wrap-distance-left:0;mso-wrap-distance-right:0;mso-position-horizontal-relative:page;mso-position-vertical-relative:page" stroked="f">
            <v:textbox inset="0,0,0,0">
              <w:txbxContent>
                <w:p w14:paraId="765224B8" w14:textId="77777777" w:rsidR="00000000" w:rsidRDefault="00EA5440"/>
              </w:txbxContent>
            </v:textbox>
            <w10:wrap type="square" anchorx="page" anchory="page"/>
          </v:shape>
        </w:pict>
      </w:r>
      <w:r>
        <w:pict w14:anchorId="032E6AAA">
          <v:shape id="_x0000_s1031" type="#_x0000_t202" style="position:absolute;left:0;text-align:left;margin-left:680.4pt;margin-top:0;width:680.4pt;height:92.25pt;z-index:-251660288;mso-wrap-distance-left:0;mso-wrap-distance-right:0;mso-position-horizontal-relative:page;mso-position-vertical-relative:page" filled="f" stroked="f">
            <v:textbox inset="0,0,0,0">
              <w:txbxContent>
                <w:p w14:paraId="66963EC2" w14:textId="77777777" w:rsidR="00536F45" w:rsidRDefault="00EA5440">
                  <w:pPr>
                    <w:spacing w:before="979" w:after="696" w:line="168" w:lineRule="exact"/>
                    <w:ind w:left="11232"/>
                    <w:textAlignment w:val="baseline"/>
                    <w:rPr>
                      <w:rFonts w:eastAsia="Times New Roman"/>
                      <w:i/>
                      <w:color w:val="000000"/>
                      <w:sz w:val="15"/>
                      <w:lang w:val="de-DE"/>
                    </w:rPr>
                  </w:pPr>
                  <w:r>
                    <w:rPr>
                      <w:rFonts w:eastAsia="Times New Roman"/>
                      <w:i/>
                      <w:color w:val="000000"/>
                      <w:sz w:val="15"/>
                      <w:lang w:val="de-DE"/>
                    </w:rPr>
                    <w:t>Du</w:t>
                  </w:r>
                  <w:r>
                    <w:rPr>
                      <w:rFonts w:eastAsia="Times New Roman"/>
                      <w:color w:val="000000"/>
                      <w:sz w:val="14"/>
                      <w:lang w:val="de-DE"/>
                    </w:rPr>
                    <w:t>-Sonderedition</w:t>
                  </w:r>
                </w:p>
              </w:txbxContent>
            </v:textbox>
            <w10:wrap type="square" anchorx="page" anchory="page"/>
          </v:shape>
        </w:pict>
      </w:r>
      <w:r>
        <w:pict w14:anchorId="26BEC0FE">
          <v:shape id="_x0000_s1030" type="#_x0000_t202" style="position:absolute;left:0;text-align:left;margin-left:680.4pt;margin-top:92.25pt;width:680.4pt;height:93.4pt;z-index:-251659264;mso-wrap-distance-left:0;mso-wrap-distance-right:0;mso-position-horizontal-relative:page;mso-position-vertical-relative:page" filled="f" stroked="f">
            <v:textbox inset="0,0,0,0">
              <w:txbxContent>
                <w:p w14:paraId="6F6858F2" w14:textId="77777777" w:rsidR="00536F45" w:rsidRDefault="00EA5440">
                  <w:pPr>
                    <w:spacing w:after="445" w:line="705" w:lineRule="exact"/>
                    <w:ind w:left="1224"/>
                    <w:textAlignment w:val="baseline"/>
                    <w:rPr>
                      <w:rFonts w:eastAsia="Times New Roman"/>
                      <w:i/>
                      <w:color w:val="000000"/>
                      <w:sz w:val="58"/>
                      <w:lang w:val="de-DE"/>
                    </w:rPr>
                  </w:pPr>
                  <w:r>
                    <w:rPr>
                      <w:rFonts w:eastAsia="Times New Roman"/>
                      <w:i/>
                      <w:color w:val="000000"/>
                      <w:sz w:val="58"/>
                      <w:lang w:val="de-DE"/>
                    </w:rPr>
                    <w:t xml:space="preserve">Hochbegabt und minderleistend – </w:t>
                  </w:r>
                  <w:r>
                    <w:rPr>
                      <w:rFonts w:eastAsia="Times New Roman"/>
                      <w:i/>
                      <w:color w:val="000000"/>
                      <w:sz w:val="58"/>
                      <w:lang w:val="de-DE"/>
                    </w:rPr>
                    <w:br/>
                    <w:t>wie passt das zusammen?</w:t>
                  </w:r>
                </w:p>
              </w:txbxContent>
            </v:textbox>
            <w10:wrap type="square" anchorx="page" anchory="page"/>
          </v:shape>
        </w:pict>
      </w:r>
      <w:r>
        <w:pict w14:anchorId="7EFEA3D1">
          <v:shape id="_x0000_s1029" type="#_x0000_t202" style="position:absolute;left:0;text-align:left;margin-left:680.4pt;margin-top:185.65pt;width:680.4pt;height:119.8pt;z-index:-251658240;mso-wrap-distance-left:0;mso-wrap-distance-right:0;mso-position-horizontal-relative:page;mso-position-vertical-relative:page" filled="f" stroked="f">
            <v:textbox inset="0,0,0,0">
              <w:txbxContent>
                <w:p w14:paraId="71EC2AFF" w14:textId="77777777" w:rsidR="00536F45" w:rsidRDefault="00EA5440">
                  <w:pPr>
                    <w:spacing w:line="320" w:lineRule="exact"/>
                    <w:ind w:left="1224" w:right="1440"/>
                    <w:textAlignment w:val="baseline"/>
                    <w:rPr>
                      <w:rFonts w:ascii="Arial" w:eastAsia="Arial" w:hAnsi="Arial"/>
                      <w:color w:val="000000"/>
                      <w:spacing w:val="-8"/>
                      <w:sz w:val="24"/>
                      <w:lang w:val="de-DE"/>
                    </w:rPr>
                  </w:pPr>
                  <w:r>
                    <w:rPr>
                      <w:rFonts w:ascii="Arial" w:eastAsia="Arial" w:hAnsi="Arial"/>
                      <w:color w:val="000000"/>
                      <w:spacing w:val="-8"/>
                      <w:sz w:val="24"/>
                      <w:lang w:val="de-DE"/>
                    </w:rPr>
                    <w:t>Immer mehr begabte Kinder und Jugendliche fallen durch Schul- und Entwicklungsprobleme auf. Eine zentrale Rolle spielt die Unterforderung im Unterricht. Hochbegabte Minderleister erleben sich als weniger motiviert und interessiert, sie schätzen ihre Fähigk</w:t>
                  </w:r>
                  <w:r>
                    <w:rPr>
                      <w:rFonts w:ascii="Arial" w:eastAsia="Arial" w:hAnsi="Arial"/>
                      <w:color w:val="000000"/>
                      <w:spacing w:val="-8"/>
                      <w:sz w:val="24"/>
                      <w:lang w:val="de-DE"/>
                    </w:rPr>
                    <w:t>eiten tiefer ein und fühlen sich häufiger unterlegen und unzufrieden. Hirnforscher sind der Ursache der negativen Emotionen auf der Spur.</w:t>
                  </w:r>
                </w:p>
                <w:p w14:paraId="0C3A67AF" w14:textId="77777777" w:rsidR="00536F45" w:rsidRDefault="00EA5440">
                  <w:pPr>
                    <w:spacing w:before="316" w:after="574" w:line="222" w:lineRule="exact"/>
                    <w:ind w:left="1224"/>
                    <w:textAlignment w:val="baseline"/>
                    <w:rPr>
                      <w:rFonts w:ascii="Arial" w:eastAsia="Arial" w:hAnsi="Arial"/>
                      <w:i/>
                      <w:color w:val="000000"/>
                      <w:spacing w:val="-1"/>
                      <w:sz w:val="19"/>
                      <w:lang w:val="de-DE"/>
                    </w:rPr>
                  </w:pPr>
                  <w:r>
                    <w:rPr>
                      <w:rFonts w:ascii="Arial" w:eastAsia="Arial" w:hAnsi="Arial"/>
                      <w:i/>
                      <w:color w:val="000000"/>
                      <w:spacing w:val="-1"/>
                      <w:sz w:val="19"/>
                      <w:lang w:val="de-DE"/>
                    </w:rPr>
                    <w:t xml:space="preserve">Von </w:t>
                  </w:r>
                  <w:r>
                    <w:rPr>
                      <w:rFonts w:ascii="Arial" w:eastAsia="Arial" w:hAnsi="Arial"/>
                      <w:color w:val="000000"/>
                      <w:spacing w:val="-1"/>
                      <w:sz w:val="18"/>
                      <w:lang w:val="de-DE"/>
                    </w:rPr>
                    <w:t>Dominik Gyseler</w:t>
                  </w:r>
                </w:p>
              </w:txbxContent>
            </v:textbox>
            <w10:wrap type="square" anchorx="page" anchory="page"/>
          </v:shape>
        </w:pict>
      </w:r>
      <w:r>
        <w:pict w14:anchorId="09DF8E14">
          <v:shape id="_x0000_s1028" type="#_x0000_t202" style="position:absolute;left:0;text-align:left;margin-left:742.8pt;margin-top:305.45pt;width:270pt;height:511.2pt;z-index:-251657216;mso-wrap-distance-left:0;mso-wrap-distance-right:0;mso-position-horizontal-relative:page;mso-position-vertical-relative:page" filled="f" stroked="f">
            <v:textbox inset="0,0,0,0">
              <w:txbxContent>
                <w:p w14:paraId="51662F76" w14:textId="77777777" w:rsidR="00536F45" w:rsidRDefault="00EA5440">
                  <w:pPr>
                    <w:spacing w:before="9" w:line="283" w:lineRule="exact"/>
                    <w:jc w:val="both"/>
                    <w:textAlignment w:val="baseline"/>
                    <w:rPr>
                      <w:rFonts w:eastAsia="Times New Roman"/>
                      <w:color w:val="000000"/>
                      <w:sz w:val="19"/>
                      <w:lang w:val="de-DE"/>
                    </w:rPr>
                  </w:pPr>
                  <w:r>
                    <w:rPr>
                      <w:rFonts w:eastAsia="Times New Roman"/>
                      <w:color w:val="000000"/>
                      <w:sz w:val="19"/>
                      <w:lang w:val="de-DE"/>
                    </w:rPr>
                    <w:t>Himmel und Hölle. Die beiden Welten von Georg hätten unter</w:t>
                  </w:r>
                  <w:r>
                    <w:rPr>
                      <w:rFonts w:eastAsia="Times New Roman"/>
                      <w:color w:val="000000"/>
                      <w:sz w:val="19"/>
                      <w:lang w:val="de-DE"/>
                    </w:rPr>
                    <w:softHyphen/>
                    <w:t>schiedlicher nicht sein können. In der Schule hing er lustlos rum, ein Einzelgänger, abgestumpft vom Unterrichtsalltag, gelangweilt von den Inhalten. Als er wegen ungenügender Leistungen in La</w:t>
                  </w:r>
                  <w:r>
                    <w:rPr>
                      <w:rFonts w:eastAsia="Times New Roman"/>
                      <w:color w:val="000000"/>
                      <w:sz w:val="19"/>
                      <w:lang w:val="de-DE"/>
                    </w:rPr>
                    <w:softHyphen/>
                    <w:t>tein</w:t>
                  </w:r>
                  <w:r>
                    <w:rPr>
                      <w:rFonts w:eastAsia="Times New Roman"/>
                      <w:color w:val="000000"/>
                      <w:sz w:val="19"/>
                      <w:lang w:val="de-DE"/>
                    </w:rPr>
                    <w:t xml:space="preserve"> und Mathematik sitzenblieb, war er 18 Jahre alt. Kurze Zeit später ging er ohne Abschluss von der Schule. Dabei hätte Georg gute Voraussetzungen gehabt. Zuhause tauchte er stundenlang in die Werke von Dostojewski, Nietzsche, Hofmannsthal und Baude</w:t>
                  </w:r>
                  <w:r>
                    <w:rPr>
                      <w:rFonts w:eastAsia="Times New Roman"/>
                      <w:color w:val="000000"/>
                      <w:sz w:val="19"/>
                      <w:lang w:val="de-DE"/>
                    </w:rPr>
                    <w:softHyphen/>
                    <w:t>laire e</w:t>
                  </w:r>
                  <w:r>
                    <w:rPr>
                      <w:rFonts w:eastAsia="Times New Roman"/>
                      <w:color w:val="000000"/>
                      <w:sz w:val="19"/>
                      <w:lang w:val="de-DE"/>
                    </w:rPr>
                    <w:t>in. Er liebte und schrieb Gedichte. Seine Intelligenz ist zwar nie gemessen worden, doch niemanden hätte es überrascht, wäre sie als überdurchschnittlich eingestuft worden.</w:t>
                  </w:r>
                </w:p>
                <w:p w14:paraId="5837A525" w14:textId="77777777" w:rsidR="00536F45" w:rsidRDefault="00EA5440">
                  <w:pPr>
                    <w:spacing w:before="11" w:line="283" w:lineRule="exact"/>
                    <w:ind w:firstLine="648"/>
                    <w:jc w:val="both"/>
                    <w:textAlignment w:val="baseline"/>
                    <w:rPr>
                      <w:rFonts w:eastAsia="Times New Roman"/>
                      <w:color w:val="000000"/>
                      <w:sz w:val="19"/>
                      <w:lang w:val="de-DE"/>
                    </w:rPr>
                  </w:pPr>
                  <w:r>
                    <w:rPr>
                      <w:rFonts w:eastAsia="Times New Roman"/>
                      <w:color w:val="000000"/>
                      <w:sz w:val="19"/>
                      <w:lang w:val="de-DE"/>
                    </w:rPr>
                    <w:t>Georg ist kein Einzelfall. «Das Bewusstsein, dass auch hoch begabte Kinder und Juge</w:t>
                  </w:r>
                  <w:r>
                    <w:rPr>
                      <w:rFonts w:eastAsia="Times New Roman"/>
                      <w:color w:val="000000"/>
                      <w:sz w:val="19"/>
                      <w:lang w:val="de-DE"/>
                    </w:rPr>
                    <w:t>ndliche Schul- und Entwicklungspro</w:t>
                  </w:r>
                  <w:r>
                    <w:rPr>
                      <w:rFonts w:eastAsia="Times New Roman"/>
                      <w:color w:val="000000"/>
                      <w:sz w:val="19"/>
                      <w:lang w:val="de-DE"/>
                    </w:rPr>
                    <w:softHyphen/>
                    <w:t>bleme zeigen können, hat bei Kinderärzten, Psychologen und Pä</w:t>
                  </w:r>
                  <w:r>
                    <w:rPr>
                      <w:rFonts w:eastAsia="Times New Roman"/>
                      <w:color w:val="000000"/>
                      <w:sz w:val="19"/>
                      <w:lang w:val="de-DE"/>
                    </w:rPr>
                    <w:softHyphen/>
                    <w:t>dagogen zugenommen», sagt Caroline Benz, Leiterin der entwick</w:t>
                  </w:r>
                  <w:r>
                    <w:rPr>
                      <w:rFonts w:eastAsia="Times New Roman"/>
                      <w:color w:val="000000"/>
                      <w:sz w:val="19"/>
                      <w:lang w:val="de-DE"/>
                    </w:rPr>
                    <w:softHyphen/>
                    <w:t>lungspädiatrischen Poliklinik des Zürcher Kinderspitals. Dabei reiche das Spektrum von Minderleis</w:t>
                  </w:r>
                  <w:r>
                    <w:rPr>
                      <w:rFonts w:eastAsia="Times New Roman"/>
                      <w:color w:val="000000"/>
                      <w:sz w:val="19"/>
                      <w:lang w:val="de-DE"/>
                    </w:rPr>
                    <w:t>tungen, Desinteresse am Unter</w:t>
                  </w:r>
                  <w:r>
                    <w:rPr>
                      <w:rFonts w:eastAsia="Times New Roman"/>
                      <w:color w:val="000000"/>
                      <w:sz w:val="19"/>
                      <w:lang w:val="de-DE"/>
                    </w:rPr>
                    <w:softHyphen/>
                    <w:t>richt und Schulverweigerung über Verhaltensprobleme wie Hyper</w:t>
                  </w:r>
                  <w:r>
                    <w:rPr>
                      <w:rFonts w:eastAsia="Times New Roman"/>
                      <w:color w:val="000000"/>
                      <w:sz w:val="19"/>
                      <w:lang w:val="de-DE"/>
                    </w:rPr>
                    <w:softHyphen/>
                    <w:t>aktivität, Konzentrationsprobleme oder Aggressivität bis hin zu psy</w:t>
                  </w:r>
                  <w:r>
                    <w:rPr>
                      <w:rFonts w:eastAsia="Times New Roman"/>
                      <w:color w:val="000000"/>
                      <w:sz w:val="19"/>
                      <w:lang w:val="de-DE"/>
                    </w:rPr>
                    <w:softHyphen/>
                    <w:t>chosomatischen Beschwerden wie Kopf- oder Bauchschmerzen.</w:t>
                  </w:r>
                </w:p>
                <w:p w14:paraId="69C77021" w14:textId="77777777" w:rsidR="00536F45" w:rsidRDefault="00EA5440">
                  <w:pPr>
                    <w:spacing w:before="13" w:line="282" w:lineRule="exact"/>
                    <w:ind w:firstLine="648"/>
                    <w:jc w:val="both"/>
                    <w:textAlignment w:val="baseline"/>
                    <w:rPr>
                      <w:rFonts w:eastAsia="Times New Roman"/>
                      <w:color w:val="000000"/>
                      <w:spacing w:val="2"/>
                      <w:sz w:val="19"/>
                      <w:lang w:val="de-DE"/>
                    </w:rPr>
                  </w:pPr>
                  <w:r>
                    <w:rPr>
                      <w:rFonts w:eastAsia="Times New Roman"/>
                      <w:color w:val="000000"/>
                      <w:spacing w:val="2"/>
                      <w:sz w:val="19"/>
                      <w:lang w:val="de-DE"/>
                    </w:rPr>
                    <w:t>Dass dies nicht zufällige Beobachtunge</w:t>
                  </w:r>
                  <w:r>
                    <w:rPr>
                      <w:rFonts w:eastAsia="Times New Roman"/>
                      <w:color w:val="000000"/>
                      <w:spacing w:val="2"/>
                      <w:sz w:val="19"/>
                      <w:lang w:val="de-DE"/>
                    </w:rPr>
                    <w:t>n sind, zeigen jüngste Forschungsbefunde. Wie viele das schulische Schicksal von Georg teilen, ist abhängig davon, ab wann bei Hochbegabten von schulischen Minderleistungen die Rede ist. Einig ist man sich in der Grundformel, wonach die schulischen Leistun</w:t>
                  </w:r>
                  <w:r>
                    <w:rPr>
                      <w:rFonts w:eastAsia="Times New Roman"/>
                      <w:color w:val="000000"/>
                      <w:spacing w:val="2"/>
                      <w:sz w:val="19"/>
                      <w:lang w:val="de-DE"/>
                    </w:rPr>
                    <w:t>gen nicht dem ent</w:t>
                  </w:r>
                  <w:r>
                    <w:rPr>
                      <w:rFonts w:eastAsia="Times New Roman"/>
                      <w:color w:val="000000"/>
                      <w:spacing w:val="2"/>
                      <w:sz w:val="19"/>
                      <w:lang w:val="de-DE"/>
                    </w:rPr>
                    <w:softHyphen/>
                    <w:t>sprechen, was aufgrund der Intelligenz zu erwarten wäre. Definiert man nun hoch begabte Minderleister als Schülerinnen und Schüler mit einer überdurchschnittlichen Intelligenz (IQ von 130 und mehr), aber höchstens durchschnittlichen Schul</w:t>
                  </w:r>
                  <w:r>
                    <w:rPr>
                      <w:rFonts w:eastAsia="Times New Roman"/>
                      <w:color w:val="000000"/>
                      <w:spacing w:val="2"/>
                      <w:sz w:val="19"/>
                      <w:lang w:val="de-DE"/>
                    </w:rPr>
                    <w:t>leistungen (50 Pro</w:t>
                  </w:r>
                  <w:r>
                    <w:rPr>
                      <w:rFonts w:eastAsia="Times New Roman"/>
                      <w:color w:val="000000"/>
                      <w:spacing w:val="2"/>
                      <w:sz w:val="19"/>
                      <w:lang w:val="de-DE"/>
                    </w:rPr>
                    <w:softHyphen/>
                    <w:t>zent des Jahrgangs sind besser), dann betrifft dies rund eines von acht hoch begabten Kindern. Auf der Primarstufe in der Stadt Zü</w:t>
                  </w:r>
                  <w:r>
                    <w:rPr>
                      <w:rFonts w:eastAsia="Times New Roman"/>
                      <w:color w:val="000000"/>
                      <w:spacing w:val="2"/>
                      <w:sz w:val="19"/>
                      <w:lang w:val="de-DE"/>
                    </w:rPr>
                    <w:softHyphen/>
                    <w:t>rich muss auf dieser Basis mit ungefähr 50 hochbegabten Minder-leistern gerechnet werden. Zum Vergleich: D</w:t>
                  </w:r>
                  <w:r>
                    <w:rPr>
                      <w:rFonts w:eastAsia="Times New Roman"/>
                      <w:color w:val="000000"/>
                      <w:spacing w:val="2"/>
                      <w:sz w:val="19"/>
                      <w:lang w:val="de-DE"/>
                    </w:rPr>
                    <w:t>ies entspricht in etwa der Häufigkeit des frühkindlichen Autismus. Nicht das zu leisten, was man könnte, muss nicht notwendigerweise problematisch sein. So schreiben manche Jugendliche lieber durchschnittliche Noten,</w:t>
                  </w:r>
                </w:p>
              </w:txbxContent>
            </v:textbox>
            <w10:wrap type="square" anchorx="page" anchory="page"/>
          </v:shape>
        </w:pict>
      </w:r>
      <w:r>
        <w:pict w14:anchorId="605A4033">
          <v:shape id="_x0000_s1027" type="#_x0000_t202" style="position:absolute;left:0;text-align:left;margin-left:1028.5pt;margin-top:305.45pt;width:270pt;height:511.2pt;z-index:-251656192;mso-wrap-distance-left:0;mso-wrap-distance-right:0;mso-position-horizontal-relative:page;mso-position-vertical-relative:page" filled="f" stroked="f">
            <v:textbox inset="0,0,0,0">
              <w:txbxContent>
                <w:p w14:paraId="72A727AE" w14:textId="77777777" w:rsidR="00536F45" w:rsidRDefault="00EA5440">
                  <w:pPr>
                    <w:spacing w:before="8" w:line="283" w:lineRule="exact"/>
                    <w:jc w:val="both"/>
                    <w:textAlignment w:val="baseline"/>
                    <w:rPr>
                      <w:rFonts w:eastAsia="Times New Roman"/>
                      <w:color w:val="000000"/>
                      <w:spacing w:val="2"/>
                      <w:sz w:val="19"/>
                      <w:lang w:val="de-DE"/>
                    </w:rPr>
                  </w:pPr>
                  <w:r>
                    <w:rPr>
                      <w:rFonts w:eastAsia="Times New Roman"/>
                      <w:color w:val="000000"/>
                      <w:spacing w:val="2"/>
                      <w:sz w:val="19"/>
                      <w:lang w:val="de-DE"/>
                    </w:rPr>
                    <w:t>als dass sie Gefahr laufen, als Stre</w:t>
                  </w:r>
                  <w:r>
                    <w:rPr>
                      <w:rFonts w:eastAsia="Times New Roman"/>
                      <w:color w:val="000000"/>
                      <w:spacing w:val="2"/>
                      <w:sz w:val="19"/>
                      <w:lang w:val="de-DE"/>
                    </w:rPr>
                    <w:t>ber abgestempelt zu werden. Um</w:t>
                  </w:r>
                  <w:r>
                    <w:rPr>
                      <w:rFonts w:eastAsia="Times New Roman"/>
                      <w:color w:val="000000"/>
                      <w:spacing w:val="2"/>
                      <w:sz w:val="19"/>
                      <w:lang w:val="de-DE"/>
                    </w:rPr>
                    <w:softHyphen/>
                    <w:t>gekehrt können schulische Probleme die ganze Persönlichkeitsent</w:t>
                  </w:r>
                  <w:r>
                    <w:rPr>
                      <w:rFonts w:eastAsia="Times New Roman"/>
                      <w:color w:val="000000"/>
                      <w:spacing w:val="2"/>
                      <w:sz w:val="19"/>
                      <w:lang w:val="de-DE"/>
                    </w:rPr>
                    <w:softHyphen/>
                    <w:t xml:space="preserve">wicklung beeinträchtigen: «Es wirkt sich erschwerend aus, wenn das Kind sein Wohlbefinden und Selbstwertgefühl vor allem aus Leistung und Erfolg und weniger aus </w:t>
                  </w:r>
                  <w:r>
                    <w:rPr>
                      <w:rFonts w:eastAsia="Times New Roman"/>
                      <w:color w:val="000000"/>
                      <w:spacing w:val="2"/>
                      <w:sz w:val="19"/>
                      <w:lang w:val="de-DE"/>
                    </w:rPr>
                    <w:t>Geborgenheit und Beziehun</w:t>
                  </w:r>
                  <w:r>
                    <w:rPr>
                      <w:rFonts w:eastAsia="Times New Roman"/>
                      <w:color w:val="000000"/>
                      <w:spacing w:val="2"/>
                      <w:sz w:val="19"/>
                      <w:lang w:val="de-DE"/>
                    </w:rPr>
                    <w:softHyphen/>
                    <w:t>gen in der Familie und im Freundeskreis bezieht», sagt Caroline Benz. Ein Problem besteht dann, wenn ein emotionaler Leidens</w:t>
                  </w:r>
                  <w:r>
                    <w:rPr>
                      <w:rFonts w:eastAsia="Times New Roman"/>
                      <w:color w:val="000000"/>
                      <w:spacing w:val="2"/>
                      <w:sz w:val="19"/>
                      <w:lang w:val="de-DE"/>
                    </w:rPr>
                    <w:softHyphen/>
                    <w:t xml:space="preserve">druck da ist. Vereinfacht kann man bei hoch begabten Minder-leistern die Frage stellen: Können sie nicht </w:t>
                  </w:r>
                  <w:r>
                    <w:rPr>
                      <w:rFonts w:eastAsia="Times New Roman"/>
                      <w:color w:val="000000"/>
                      <w:spacing w:val="2"/>
                      <w:sz w:val="19"/>
                      <w:lang w:val="de-DE"/>
                    </w:rPr>
                    <w:t>oder wollen sie nicht?</w:t>
                  </w:r>
                </w:p>
                <w:p w14:paraId="11AA40F7" w14:textId="77777777" w:rsidR="00536F45" w:rsidRDefault="00EA5440">
                  <w:pPr>
                    <w:spacing w:before="476" w:line="278" w:lineRule="exact"/>
                    <w:textAlignment w:val="baseline"/>
                    <w:rPr>
                      <w:rFonts w:ascii="Arial" w:eastAsia="Arial" w:hAnsi="Arial"/>
                      <w:color w:val="000000"/>
                      <w:spacing w:val="-4"/>
                      <w:sz w:val="24"/>
                      <w:lang w:val="de-DE"/>
                    </w:rPr>
                  </w:pPr>
                  <w:r>
                    <w:rPr>
                      <w:rFonts w:ascii="Arial" w:eastAsia="Arial" w:hAnsi="Arial"/>
                      <w:color w:val="000000"/>
                      <w:spacing w:val="-4"/>
                      <w:sz w:val="24"/>
                      <w:lang w:val="de-DE"/>
                    </w:rPr>
                    <w:t>Überfordert mit Unterforderung</w:t>
                  </w:r>
                </w:p>
                <w:p w14:paraId="4B8AF5DB" w14:textId="77777777" w:rsidR="00536F45" w:rsidRDefault="00EA5440">
                  <w:pPr>
                    <w:spacing w:before="108" w:line="283" w:lineRule="exact"/>
                    <w:jc w:val="both"/>
                    <w:textAlignment w:val="baseline"/>
                    <w:rPr>
                      <w:rFonts w:eastAsia="Times New Roman"/>
                      <w:color w:val="000000"/>
                      <w:spacing w:val="3"/>
                      <w:sz w:val="19"/>
                      <w:lang w:val="de-DE"/>
                    </w:rPr>
                  </w:pPr>
                  <w:r>
                    <w:rPr>
                      <w:rFonts w:eastAsia="Times New Roman"/>
                      <w:color w:val="000000"/>
                      <w:spacing w:val="3"/>
                      <w:sz w:val="19"/>
                      <w:lang w:val="de-DE"/>
                    </w:rPr>
                    <w:t>Verglichen mit Hochbegabten, die in der Schule erfolgreich sind, erleben sich hoch begabte Minderleister als weniger motiviert und interessiert, sie schätzen ihre Fähigkeiten tiefer ein und fühlen sich häufiger unterlegen und unzufrieden. Diese Eigenschaft</w:t>
                  </w:r>
                  <w:r>
                    <w:rPr>
                      <w:rFonts w:eastAsia="Times New Roman"/>
                      <w:color w:val="000000"/>
                      <w:spacing w:val="3"/>
                      <w:sz w:val="19"/>
                      <w:lang w:val="de-DE"/>
                    </w:rPr>
                    <w:t>en sind zu</w:t>
                  </w:r>
                  <w:r>
                    <w:rPr>
                      <w:rFonts w:eastAsia="Times New Roman"/>
                      <w:color w:val="000000"/>
                      <w:spacing w:val="3"/>
                      <w:sz w:val="19"/>
                      <w:lang w:val="de-DE"/>
                    </w:rPr>
                    <w:softHyphen/>
                    <w:t>gleich Ursache und Folge der Schulprobleme: Wer an seinen Fähig</w:t>
                  </w:r>
                  <w:r>
                    <w:rPr>
                      <w:rFonts w:eastAsia="Times New Roman"/>
                      <w:color w:val="000000"/>
                      <w:spacing w:val="3"/>
                      <w:sz w:val="19"/>
                      <w:lang w:val="de-DE"/>
                    </w:rPr>
                    <w:softHyphen/>
                    <w:t>keiten zweifelt, leistet weniger; wer weniger leistet, verliert den Glauben an seine Fähigkeiten. Zusätzlich angetrieben wird diese Negativspirale durch verschiedene äussere Umständ</w:t>
                  </w:r>
                  <w:r>
                    <w:rPr>
                      <w:rFonts w:eastAsia="Times New Roman"/>
                      <w:color w:val="000000"/>
                      <w:spacing w:val="3"/>
                      <w:sz w:val="19"/>
                      <w:lang w:val="de-DE"/>
                    </w:rPr>
                    <w:t>e wie man</w:t>
                  </w:r>
                  <w:r>
                    <w:rPr>
                      <w:rFonts w:eastAsia="Times New Roman"/>
                      <w:color w:val="000000"/>
                      <w:spacing w:val="3"/>
                      <w:sz w:val="19"/>
                      <w:lang w:val="de-DE"/>
                    </w:rPr>
                    <w:softHyphen/>
                    <w:t>gelnde intellektuelle Anregungen im Elternhaus, problematische Beziehungen zur Lehrperson oder die fehlende Herausforderung im Unterricht.</w:t>
                  </w:r>
                </w:p>
                <w:p w14:paraId="2D06C041" w14:textId="77777777" w:rsidR="00536F45" w:rsidRDefault="00EA5440">
                  <w:pPr>
                    <w:spacing w:before="12" w:line="282" w:lineRule="exact"/>
                    <w:ind w:firstLine="720"/>
                    <w:jc w:val="both"/>
                    <w:textAlignment w:val="baseline"/>
                    <w:rPr>
                      <w:rFonts w:eastAsia="Times New Roman"/>
                      <w:color w:val="000000"/>
                      <w:spacing w:val="2"/>
                      <w:sz w:val="19"/>
                      <w:lang w:val="de-DE"/>
                    </w:rPr>
                  </w:pPr>
                  <w:r>
                    <w:rPr>
                      <w:rFonts w:eastAsia="Times New Roman"/>
                      <w:color w:val="000000"/>
                      <w:spacing w:val="2"/>
                      <w:sz w:val="19"/>
                      <w:lang w:val="de-DE"/>
                    </w:rPr>
                    <w:t>Die Besonderheit bei hoch begabten Minderleistern besteht darin, dass deren Probleme häufig nicht trotz, so</w:t>
                  </w:r>
                  <w:r>
                    <w:rPr>
                      <w:rFonts w:eastAsia="Times New Roman"/>
                      <w:color w:val="000000"/>
                      <w:spacing w:val="2"/>
                      <w:sz w:val="19"/>
                      <w:lang w:val="de-DE"/>
                    </w:rPr>
                    <w:t>ndern gerade we</w:t>
                  </w:r>
                  <w:r>
                    <w:rPr>
                      <w:rFonts w:eastAsia="Times New Roman"/>
                      <w:color w:val="000000"/>
                      <w:spacing w:val="2"/>
                      <w:sz w:val="19"/>
                      <w:lang w:val="de-DE"/>
                    </w:rPr>
                    <w:softHyphen/>
                    <w:t xml:space="preserve">gen der Hochbegabung entstehen. Eine zentrale Rolle spielt dabei die Unterforderung im schulischen Unterricht. Nicht jeder Schüler, der lustlos in der Schulbank hängt, hat freilich das Potenzial zum Genie: «Langeweile ist manchmal vielmehr </w:t>
                  </w:r>
                  <w:r>
                    <w:rPr>
                      <w:rFonts w:eastAsia="Times New Roman"/>
                      <w:color w:val="000000"/>
                      <w:spacing w:val="2"/>
                      <w:sz w:val="19"/>
                      <w:lang w:val="de-DE"/>
                    </w:rPr>
                    <w:t>ein Zeichen für schlech</w:t>
                  </w:r>
                  <w:r>
                    <w:rPr>
                      <w:rFonts w:eastAsia="Times New Roman"/>
                      <w:color w:val="000000"/>
                      <w:spacing w:val="2"/>
                      <w:sz w:val="19"/>
                      <w:lang w:val="de-DE"/>
                    </w:rPr>
                    <w:softHyphen/>
                    <w:t>ten Unterricht als für eine hohe Intelligenz», sagt Caroline Benz, die gleichzeitig aber auch betont: «Eine Unterforderung ist nicht au</w:t>
                  </w:r>
                  <w:r>
                    <w:rPr>
                      <w:rFonts w:eastAsia="Times New Roman"/>
                      <w:color w:val="000000"/>
                      <w:spacing w:val="2"/>
                      <w:sz w:val="19"/>
                      <w:lang w:val="de-DE"/>
                    </w:rPr>
                    <w:softHyphen/>
                    <w:t xml:space="preserve">tomatisch ein Problem.» Während die einen Hochbegabten zum Teil erhebliche Schulprobleme haben, </w:t>
                  </w:r>
                  <w:r>
                    <w:rPr>
                      <w:rFonts w:eastAsia="Times New Roman"/>
                      <w:color w:val="000000"/>
                      <w:spacing w:val="2"/>
                      <w:sz w:val="19"/>
                      <w:lang w:val="de-DE"/>
                    </w:rPr>
                    <w:t>können andere Hochbegabte gut mit der Unterforderung umgehen. Vermutet wird, dass die bei</w:t>
                  </w:r>
                  <w:r>
                    <w:rPr>
                      <w:rFonts w:eastAsia="Times New Roman"/>
                      <w:color w:val="000000"/>
                      <w:spacing w:val="2"/>
                      <w:sz w:val="19"/>
                      <w:lang w:val="de-DE"/>
                    </w:rPr>
                    <w:softHyphen/>
                    <w:t>den Gruppen die Unterforderung emotional unterschiedlich verar</w:t>
                  </w:r>
                  <w:r>
                    <w:rPr>
                      <w:rFonts w:eastAsia="Times New Roman"/>
                      <w:color w:val="000000"/>
                      <w:spacing w:val="2"/>
                      <w:sz w:val="19"/>
                      <w:lang w:val="de-DE"/>
                    </w:rPr>
                    <w:softHyphen/>
                    <w:t>beiten. Das Problem: Das sind Prozesse, die zum Teil sogar unbe-</w:t>
                  </w:r>
                  <w:r>
                    <w:rPr>
                      <w:rFonts w:eastAsia="Times New Roman"/>
                      <w:color w:val="000000"/>
                      <w:sz w:val="24"/>
                      <w:lang w:val="de-DE"/>
                    </w:rPr>
                    <w:t xml:space="preserve"> </w:t>
                  </w:r>
                </w:p>
              </w:txbxContent>
            </v:textbox>
            <w10:wrap type="square" anchorx="page" anchory="page"/>
          </v:shape>
        </w:pict>
      </w:r>
      <w:r>
        <w:pict w14:anchorId="015DC171">
          <v:shape id="_x0000_s1026" type="#_x0000_t202" style="position:absolute;left:0;text-align:left;margin-left:680.4pt;margin-top:816.65pt;width:680.4pt;height:76.4pt;z-index:-251655168;mso-wrap-distance-left:0;mso-wrap-distance-right:0;mso-position-horizontal-relative:page;mso-position-vertical-relative:page" filled="f" stroked="f">
            <v:textbox inset="0,0,0,0">
              <w:txbxContent>
                <w:p w14:paraId="6256D3FC" w14:textId="77777777" w:rsidR="00536F45" w:rsidRDefault="00EA5440">
                  <w:pPr>
                    <w:spacing w:before="608" w:after="751" w:line="164" w:lineRule="exact"/>
                    <w:ind w:left="12168"/>
                    <w:textAlignment w:val="baseline"/>
                    <w:rPr>
                      <w:rFonts w:eastAsia="Times New Roman"/>
                      <w:color w:val="000000"/>
                      <w:sz w:val="14"/>
                      <w:lang w:val="de-DE"/>
                    </w:rPr>
                  </w:pPr>
                  <w:r>
                    <w:rPr>
                      <w:rFonts w:eastAsia="Times New Roman"/>
                      <w:color w:val="000000"/>
                      <w:sz w:val="14"/>
                      <w:lang w:val="de-DE"/>
                    </w:rPr>
                    <w:t>13</w:t>
                  </w:r>
                </w:p>
              </w:txbxContent>
            </v:textbox>
            <w10:wrap type="square" anchorx="page" anchory="page"/>
          </v:shape>
        </w:pict>
      </w:r>
      <w:r>
        <w:rPr>
          <w:rFonts w:ascii="Arial" w:eastAsia="Arial" w:hAnsi="Arial"/>
          <w:i/>
          <w:color w:val="FFFFFF"/>
          <w:sz w:val="15"/>
          <w:lang w:val="de-DE"/>
        </w:rPr>
        <w:t xml:space="preserve">Reptiles </w:t>
      </w:r>
      <w:r>
        <w:rPr>
          <w:rFonts w:ascii="Arial" w:eastAsia="Arial" w:hAnsi="Arial"/>
          <w:color w:val="FFFFFF"/>
          <w:sz w:val="14"/>
          <w:lang w:val="de-DE"/>
        </w:rPr>
        <w:t>von M. C. Escher, März 1943.</w:t>
      </w:r>
    </w:p>
    <w:p w14:paraId="533F374A" w14:textId="77777777" w:rsidR="00536F45" w:rsidRDefault="00EA5440">
      <w:pPr>
        <w:spacing w:before="10" w:after="220" w:line="507" w:lineRule="exact"/>
        <w:textAlignment w:val="baseline"/>
        <w:rPr>
          <w:rFonts w:eastAsia="Times New Roman"/>
          <w:b/>
          <w:color w:val="FFFFFF"/>
          <w:spacing w:val="19"/>
          <w:w w:val="95"/>
          <w:sz w:val="45"/>
          <w:lang w:val="de-DE"/>
        </w:rPr>
      </w:pPr>
      <w:r>
        <w:rPr>
          <w:rFonts w:eastAsia="Times New Roman"/>
          <w:b/>
          <w:color w:val="FFFFFF"/>
          <w:spacing w:val="19"/>
          <w:w w:val="95"/>
          <w:sz w:val="45"/>
          <w:lang w:val="de-DE"/>
        </w:rPr>
        <w:t>M. C. ESCHER</w:t>
      </w:r>
    </w:p>
    <w:p w14:paraId="3B38FD08" w14:textId="77777777" w:rsidR="00536F45" w:rsidRDefault="00EA5440">
      <w:pPr>
        <w:spacing w:before="6" w:line="283" w:lineRule="exact"/>
        <w:ind w:right="5760"/>
        <w:jc w:val="both"/>
        <w:textAlignment w:val="baseline"/>
        <w:rPr>
          <w:rFonts w:eastAsia="Times New Roman"/>
          <w:color w:val="FFFFFF"/>
          <w:spacing w:val="4"/>
          <w:sz w:val="19"/>
          <w:lang w:val="de-DE"/>
        </w:rPr>
      </w:pPr>
      <w:r>
        <w:rPr>
          <w:rFonts w:eastAsia="Times New Roman"/>
          <w:color w:val="FFFFFF"/>
          <w:spacing w:val="4"/>
          <w:sz w:val="19"/>
          <w:lang w:val="de-DE"/>
        </w:rPr>
        <w:t>Der Künstler und Grafiker Maurits Cornelis Escher wurde 1898 im niederländischen Leeuwarden geboren. Berühmt wurde er mit seinen optischen Täuschungen und der Darstellung von perspekti</w:t>
      </w:r>
      <w:r>
        <w:rPr>
          <w:rFonts w:eastAsia="Times New Roman"/>
          <w:color w:val="FFFFFF"/>
          <w:spacing w:val="4"/>
          <w:sz w:val="19"/>
          <w:lang w:val="de-DE"/>
        </w:rPr>
        <w:softHyphen/>
        <w:t>vischen Unmöglichkeiten. Mit seinen Holzschnitten, Holzstichen und Lith</w:t>
      </w:r>
      <w:r>
        <w:rPr>
          <w:rFonts w:eastAsia="Times New Roman"/>
          <w:color w:val="FFFFFF"/>
          <w:spacing w:val="4"/>
          <w:sz w:val="19"/>
          <w:lang w:val="de-DE"/>
        </w:rPr>
        <w:t>ografien erreichte er nahezu technische Perfektion. Escher lebte lange in der Nähe von Rom und – nach der Heirat mit der Schweizer Industriellentochter Jetta Umiker – in Château-d’Œx im Kanton Waadt. Er starb 1972 im niederländischen Hilversum.</w:t>
      </w:r>
    </w:p>
    <w:sectPr w:rsidR="00536F45">
      <w:pgSz w:w="27216" w:h="17861" w:orient="landscape"/>
      <w:pgMar w:top="0" w:right="14827" w:bottom="0" w:left="122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EAA6" w14:textId="77777777" w:rsidR="00EA5440" w:rsidRDefault="00EA5440">
      <w:r>
        <w:separator/>
      </w:r>
    </w:p>
  </w:endnote>
  <w:endnote w:type="continuationSeparator" w:id="0">
    <w:p w14:paraId="38BC9881" w14:textId="77777777" w:rsidR="00EA5440" w:rsidRDefault="00EA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29FA" w14:textId="77777777" w:rsidR="00EA5440" w:rsidRDefault="00EA5440"/>
  </w:footnote>
  <w:footnote w:type="continuationSeparator" w:id="0">
    <w:p w14:paraId="28DCBF37" w14:textId="77777777" w:rsidR="00EA5440" w:rsidRDefault="00EA5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F45"/>
    <w:rsid w:val="00253088"/>
    <w:rsid w:val="00536F45"/>
    <w:rsid w:val="00EA54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59E478B"/>
  <w15:docId w15:val="{E3F97BB1-D39F-4520-8F59-EF0D5E31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486</Characters>
  <Application>Microsoft Office Word</Application>
  <DocSecurity>0</DocSecurity>
  <Lines>4</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45152_DU_00 Cover Du Hochbegabt_v6.indd</dc:title>
  <dc:creator>User</dc:creator>
  <cp:lastModifiedBy>User</cp:lastModifiedBy>
  <cp:revision>2</cp:revision>
  <dcterms:created xsi:type="dcterms:W3CDTF">2024-12-06T20:37:00Z</dcterms:created>
  <dcterms:modified xsi:type="dcterms:W3CDTF">2024-12-06T20:37:00Z</dcterms:modified>
</cp:coreProperties>
</file>